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b/>
          <w:color w:val="1F497D"/>
          <w:sz w:val="36"/>
        </w:rPr>
        <w:t>【新北市某示範段公共工程公共基礎建設計畫】</w:t>
        <w:br/>
        <w:br/>
      </w:r>
      <w:r>
        <w:rPr>
          <w:b/>
          <w:color w:val="002060"/>
          <w:sz w:val="56"/>
        </w:rPr>
        <w:t>整 體 品 質 管 制 計 畫 書</w:t>
        <w:br/>
      </w:r>
      <w:r>
        <w:rPr>
          <w:color w:val="595959"/>
          <w:sz w:val="28"/>
        </w:rPr>
        <w:t>（行政院公共工程委員會 111 年 12 月最新作業要點標準版）</w:t>
        <w:br/>
        <w:br/>
        <w:br/>
      </w:r>
    </w:p>
    <w:p>
      <w:pPr>
        <w:spacing w:line="360" w:lineRule="auto"/>
        <w:jc w:val="center"/>
      </w:pPr>
      <w:r>
        <w:rPr>
          <w:sz w:val="24"/>
        </w:rPr>
        <w:t>主辦機關：新北市政府工務局</w:t>
        <w:br/>
        <w:t>監造單位：台灣現代工程技術顧問股份有限公司</w:t>
        <w:br/>
        <w:t>承造廠商：甲級聯合營造工程股份有限公司</w:t>
        <w:br/>
        <w:t>專任工程人員：張主任技師（土木科技字第XXXX號）</w:t>
        <w:br/>
        <w:t>專任品管人員：李品管工程師（品管字第XXXX號）</w:t>
        <w:br/>
        <w:br/>
        <w:t>編製日期：中華民國 115 年 10 月</w:t>
        <w:br/>
        <w:t>版次：第 A 版（送審核定版）</w:t>
      </w:r>
    </w:p>
    <w:p>
      <w:r>
        <w:br w:type="page"/>
      </w:r>
    </w:p>
    <w:p>
      <w:pPr>
        <w:pStyle w:val="Heading1"/>
      </w:pPr>
      <w:r>
        <w:t>目錄（Table of Contents）</w:t>
      </w:r>
    </w:p>
    <w:p>
      <w:pPr>
        <w:spacing w:line="312" w:lineRule="auto"/>
      </w:pPr>
      <w:r>
        <w:t>第一章 計畫編製說明與工程概述 .............................................................. 1</w:t>
        <w:br/>
        <w:t xml:space="preserve">  1.1 編製依據 .................................................................................................... 1</w:t>
        <w:br/>
        <w:t xml:space="preserve">  1.2 工程概要與範圍 ........................................................................................ 1</w:t>
        <w:br/>
        <w:t xml:space="preserve">  1.3 計畫適用範圍與修訂程序 ........................................................................ 2</w:t>
        <w:br/>
        <w:t>第二章 品質管理組織及職責 ...................................................................... 3</w:t>
        <w:br/>
        <w:t xml:space="preserve">  2.1 品質管理組織架構 .................................................................................... 3</w:t>
        <w:br/>
        <w:t xml:space="preserve">  2.2 專任工程人員職責與到場查驗時機（111年最新修正要點） ................... 4</w:t>
        <w:br/>
        <w:t xml:space="preserve">  2.3 工地主任與品管人員工作重點 ................................................................ 5</w:t>
        <w:br/>
        <w:t>第三章 施工要領與作業程序 ...................................................................... 6</w:t>
        <w:br/>
        <w:t xml:space="preserve">  3.1 分項工程劃分與施工流程 ........................................................................ 6</w:t>
        <w:br/>
        <w:t xml:space="preserve">  3.2 主要分項工程施工要領（鋼筋、模板、混凝土、基礎開挖） ............... 7</w:t>
        <w:br/>
        <w:t>第四章 品質管理標準 ................................................................................. 9</w:t>
        <w:br/>
        <w:t xml:space="preserve">  4.1 施工品質管理標準表 ................................................................................ 9</w:t>
        <w:br/>
        <w:t xml:space="preserve">  4.2 施工公差控制基準 .................................................................................... 11</w:t>
        <w:br/>
        <w:t>第五章 材料及施工檢驗程序 ...................................................................... 12</w:t>
        <w:br/>
        <w:t xml:space="preserve">  5.1 材料設備送審管制總表與程序 ................................................................ 12</w:t>
        <w:br/>
        <w:t xml:space="preserve">  5.2 檢驗停留點（Hold Point）管制措施 ...................................................... 14</w:t>
        <w:br/>
        <w:t>第六章 自主檢查與管制措施 ...................................................................... 15</w:t>
        <w:br/>
        <w:t xml:space="preserve">  6.1 三級品管自主檢查機制 ............................................................................ 15</w:t>
        <w:br/>
        <w:t xml:space="preserve">  6.2 分項工程自主檢查表清單與標準範本 .................................................... 16</w:t>
        <w:br/>
        <w:t>第七章 不合格品之管制與矯正預防 .......................................................... 19</w:t>
        <w:br/>
        <w:t xml:space="preserve">  7.1 不合格品之定義、分類與隔離程序 ........................................................ 19</w:t>
        <w:br/>
        <w:t xml:space="preserve">  7.2 缺失改善通知單與追蹤改善銷案流程 .................................................... 20</w:t>
        <w:br/>
        <w:t>第八章 矯正與預防措施 .............................................................................. 21</w:t>
        <w:br/>
        <w:t xml:space="preserve">  8.1 矯正措施審查時機與成因分析 ................................................................ 21</w:t>
        <w:br/>
        <w:t xml:space="preserve">  8.2 定期品質檢討會議運作機制 .................................................................... 22</w:t>
        <w:br/>
        <w:t>第九章 文件紀錄管理系統與品質稽核 ...................................................... 23</w:t>
        <w:br/>
        <w:t xml:space="preserve">  9.1 品質文件編號、保管與五年存檔規範 .................................................... 23</w:t>
        <w:br/>
        <w:t xml:space="preserve">  9.2 內部品質稽核計畫與執行成果紀錄 ........................................................ 24</w:t>
        <w:br/>
      </w:r>
    </w:p>
    <w:p>
      <w:r>
        <w:br w:type="page"/>
      </w:r>
    </w:p>
    <w:p>
      <w:pPr>
        <w:pStyle w:val="Heading1"/>
      </w:pPr>
      <w:r>
        <w:t>第一章 計畫編製說明與工程概述</w:t>
      </w:r>
    </w:p>
    <w:p>
      <w:pPr>
        <w:pStyle w:val="Heading2"/>
      </w:pPr>
      <w:r>
        <w:t>1.1 編製依據</w:t>
      </w:r>
    </w:p>
    <w:p>
      <w:r>
        <w:t>本整體品質管制計畫書係依據行政院公共工程委員會民國 111 年 12 月 22 日最新修正之「公共工程施工品質管理作業要點」、勞動部現行「職業安全衛生法」及「營造安全衛生設施標準」、工程採購契約規範、施工圖說及相關工程技術工法規範編製。</w:t>
        <w:br/>
        <w:t>本計畫書旨在建立健全之施工品質保證與自主品質管制體系，落實品質三級品管制度中之第一級承造人自主品管作業，確保本工程施工品質符合設計契約要求，如期如質安全完工。</w:t>
      </w:r>
    </w:p>
    <w:p>
      <w:pPr>
        <w:pStyle w:val="Heading2"/>
      </w:pPr>
      <w:r>
        <w:t>1.2 工程概要與範圍</w:t>
      </w:r>
    </w:p>
    <w:tbl>
      <w:tblPr>
        <w:tblStyle w:val="TableGrid"/>
        <w:tblW w:type="auto" w:w="0"/>
        <w:tblLook w:firstColumn="1" w:firstRow="1" w:lastColumn="0" w:lastRow="0" w:noHBand="0" w:noVBand="1" w:val="04A0"/>
      </w:tblPr>
      <w:tblGrid>
        <w:gridCol w:w="4565"/>
        <w:gridCol w:w="4565"/>
      </w:tblGrid>
      <w:tr>
        <w:trPr>
          <w:cantSplit/>
        </w:trPr>
        <w:tc>
          <w:tcPr>
            <w:tcW w:type="dxa" w:w="4565"/>
            <w:shd w:fill="F2F2F2"/>
          </w:tcPr>
          <w:p>
            <w:r>
              <w:rPr>
                <w:b/>
              </w:rPr>
              <w:t>工程標案名稱</w:t>
            </w:r>
          </w:p>
        </w:tc>
        <w:tc>
          <w:tcPr>
            <w:tcW w:type="dxa" w:w="4565"/>
          </w:tcPr>
          <w:p>
            <w:r>
              <w:t>新北市某示範段公共工程公共基礎建設計畫</w:t>
            </w:r>
          </w:p>
        </w:tc>
      </w:tr>
      <w:tr>
        <w:trPr>
          <w:cantSplit/>
        </w:trPr>
        <w:tc>
          <w:tcPr>
            <w:tcW w:type="dxa" w:w="4565"/>
            <w:shd w:fill="F2F2F2"/>
          </w:tcPr>
          <w:p>
            <w:r>
              <w:rPr>
                <w:b/>
              </w:rPr>
              <w:t>工程主管機關 / 主辦機關</w:t>
            </w:r>
          </w:p>
        </w:tc>
        <w:tc>
          <w:tcPr>
            <w:tcW w:type="dxa" w:w="4565"/>
          </w:tcPr>
          <w:p>
            <w:r>
              <w:t>行政院公共工程委員會 / 新北市政府工務局</w:t>
            </w:r>
          </w:p>
        </w:tc>
      </w:tr>
      <w:tr>
        <w:trPr>
          <w:cantSplit/>
        </w:trPr>
        <w:tc>
          <w:tcPr>
            <w:tcW w:type="dxa" w:w="4565"/>
            <w:shd w:fill="F2F2F2"/>
          </w:tcPr>
          <w:p>
            <w:r>
              <w:rPr>
                <w:b/>
              </w:rPr>
              <w:t>監造技術顧問單位</w:t>
            </w:r>
          </w:p>
        </w:tc>
        <w:tc>
          <w:tcPr>
            <w:tcW w:type="dxa" w:w="4565"/>
          </w:tcPr>
          <w:p>
            <w:r>
              <w:t>台灣現代工程技術顧問股份有限公司</w:t>
            </w:r>
          </w:p>
        </w:tc>
      </w:tr>
      <w:tr>
        <w:trPr>
          <w:cantSplit/>
        </w:trPr>
        <w:tc>
          <w:tcPr>
            <w:tcW w:type="dxa" w:w="4565"/>
            <w:shd w:fill="F2F2F2"/>
          </w:tcPr>
          <w:p>
            <w:r>
              <w:rPr>
                <w:b/>
              </w:rPr>
              <w:t>施工得標承造廠商</w:t>
            </w:r>
          </w:p>
        </w:tc>
        <w:tc>
          <w:tcPr>
            <w:tcW w:type="dxa" w:w="4565"/>
          </w:tcPr>
          <w:p>
            <w:r>
              <w:t>甲級聯合營造工程股份有限公司</w:t>
            </w:r>
          </w:p>
        </w:tc>
      </w:tr>
      <w:tr>
        <w:trPr>
          <w:cantSplit/>
        </w:trPr>
        <w:tc>
          <w:tcPr>
            <w:tcW w:type="dxa" w:w="4565"/>
            <w:shd w:fill="F2F2F2"/>
          </w:tcPr>
          <w:p>
            <w:r>
              <w:rPr>
                <w:b/>
              </w:rPr>
              <w:t>契約工期與施工地點</w:t>
            </w:r>
          </w:p>
        </w:tc>
        <w:tc>
          <w:tcPr>
            <w:tcW w:type="dxa" w:w="4565"/>
          </w:tcPr>
          <w:p>
            <w:r>
              <w:t>開工日起 450 日曆天 / 新北市特定工區範圍</w:t>
            </w:r>
          </w:p>
        </w:tc>
      </w:tr>
      <w:tr>
        <w:trPr>
          <w:cantSplit/>
        </w:trPr>
        <w:tc>
          <w:tcPr>
            <w:tcW w:type="dxa" w:w="4565"/>
            <w:shd w:fill="F2F2F2"/>
          </w:tcPr>
          <w:p>
            <w:r>
              <w:rPr>
                <w:b/>
              </w:rPr>
              <w:t>工程主要施工項目</w:t>
            </w:r>
          </w:p>
        </w:tc>
        <w:tc>
          <w:tcPr>
            <w:tcW w:type="dxa" w:w="4565"/>
          </w:tcPr>
          <w:p>
            <w:r>
              <w:t>深基礎開挖排樁擋土、地下鋼筋混凝土箱涵、橋梁墩柱耐震補強、周邊景觀道路排水工程</w:t>
            </w:r>
          </w:p>
        </w:tc>
      </w:tr>
      <w:tr>
        <w:trPr>
          <w:cantSplit/>
        </w:trPr>
        <w:tc>
          <w:tcPr>
            <w:tcW w:type="dxa" w:w="4565"/>
            <w:shd w:fill="F2F2F2"/>
          </w:tcPr>
          <w:p>
            <w:r>
              <w:rPr>
                <w:b/>
              </w:rPr>
              <w:t>品質計畫適用級別</w:t>
            </w:r>
          </w:p>
        </w:tc>
        <w:tc>
          <w:tcPr>
            <w:tcW w:type="dxa" w:w="4565"/>
          </w:tcPr>
          <w:p>
            <w:r>
              <w:t>依工程會要點規定：屬公告金額以上未達巨額採購之標案，編製「整體品質管制計畫書」</w:t>
            </w:r>
          </w:p>
        </w:tc>
      </w:tr>
    </w:tbl>
    <w:p>
      <w:pPr>
        <w:pStyle w:val="Heading2"/>
      </w:pPr>
      <w:r>
        <w:t>1.3 計畫適用範圍與修訂程序</w:t>
      </w:r>
    </w:p>
    <w:p>
      <w:r>
        <w:t>本計畫書適用於本工程契約範圍內所有分項工程之材料、機具、施工工法及相關品質檢驗管理。工程進行中若遭遇契約重大變更、工法調整或主管機關法規修正時，承造廠商應於變更確定後 14 日內完成修訂，並提送專任工程人員簽認後，報請監造單位審查及主辦機關核定後據以實施。</w:t>
      </w:r>
    </w:p>
    <w:p>
      <w:pPr>
        <w:pStyle w:val="Heading1"/>
      </w:pPr>
      <w:r>
        <w:t>第二章 品質管理組織及職責</w:t>
      </w:r>
    </w:p>
    <w:p>
      <w:pPr>
        <w:pStyle w:val="Heading2"/>
      </w:pPr>
      <w:r>
        <w:t>2.1 品質管理組織架構</w:t>
      </w:r>
    </w:p>
    <w:p>
      <w:r>
        <w:t>工務所設立專責品質管理組織，由專任工程人員督導，工地主任綜理現場行政與進度，專職品管人員獨立行使品質稽核與監督權限，品管人員不受現場工期進度牽制，確保客觀品質原則。</w:t>
        <w:br/>
        <w:t>組織架構為：【專任工程人員】 ➔ 【工地主任】 ➔ 【專任品管人員】 ＋ 【現場專業施工工程師】 ＋ 【職安專責人員】。</w:t>
      </w:r>
    </w:p>
    <w:p>
      <w:pPr>
        <w:pStyle w:val="Heading2"/>
      </w:pPr>
      <w:r>
        <w:t>2.2 專任工程人員職責與到場查驗時機（111年最新修正規範）</w:t>
      </w:r>
    </w:p>
    <w:p>
      <w:r>
        <w:t>依據工程會 111 年 12 月 22 日修正之「公共工程施工品質管理作業要點」第三點及營造業法第三十五條規定，專任工程人員（主任技師）應負責指導現場施工技術並親自執行關鍵查驗節點：</w:t>
      </w:r>
    </w:p>
    <w:tbl>
      <w:tblPr>
        <w:tblStyle w:val="TableGrid"/>
        <w:tblW w:type="auto" w:w="0"/>
        <w:tblLook w:firstColumn="1" w:firstRow="1" w:lastColumn="0" w:lastRow="0" w:noHBand="0" w:noVBand="1" w:val="04A0"/>
      </w:tblPr>
      <w:tblGrid>
        <w:gridCol w:w="3043"/>
        <w:gridCol w:w="3043"/>
        <w:gridCol w:w="3043"/>
      </w:tblGrid>
      <w:tr>
        <w:trPr>
          <w:tblHeader/>
          <w:cantSplit/>
        </w:trPr>
        <w:tc>
          <w:tcPr>
            <w:tcW w:type="dxa" w:w="3043"/>
            <w:shd w:fill="1F497D"/>
          </w:tcPr>
          <w:p>
            <w:r>
              <w:t>查驗階段 / 項目</w:t>
            </w:r>
          </w:p>
        </w:tc>
        <w:tc>
          <w:tcPr>
            <w:tcW w:type="dxa" w:w="3043"/>
            <w:shd w:fill="1F497D"/>
          </w:tcPr>
          <w:p>
            <w:r>
              <w:t>專任工程人員法定職責與查驗重點</w:t>
            </w:r>
          </w:p>
        </w:tc>
        <w:tc>
          <w:tcPr>
            <w:tcW w:type="dxa" w:w="3043"/>
            <w:shd w:fill="1F497D"/>
          </w:tcPr>
          <w:p>
            <w:r>
              <w:t>簽認文件與查核留存</w:t>
            </w:r>
          </w:p>
        </w:tc>
      </w:tr>
      <w:tr>
        <w:trPr>
          <w:cantSplit/>
        </w:trPr>
        <w:tc>
          <w:tcPr>
            <w:tcW w:type="dxa" w:w="3043"/>
          </w:tcPr>
          <w:p>
            <w:r>
              <w:t>基礎開挖完成階段</w:t>
            </w:r>
          </w:p>
        </w:tc>
        <w:tc>
          <w:tcPr>
            <w:tcW w:type="dxa" w:w="3043"/>
          </w:tcPr>
          <w:p>
            <w:r>
              <w:t>現場查驗擋土排樁垂直度、地下水位觀測、開挖面基底承載力及支撐安全設施</w:t>
            </w:r>
          </w:p>
        </w:tc>
        <w:tc>
          <w:tcPr>
            <w:tcW w:type="dxa" w:w="3043"/>
          </w:tcPr>
          <w:p>
            <w:r>
              <w:t>專任工程人員督察督導紀錄表、開挖查驗紀錄</w:t>
            </w:r>
          </w:p>
        </w:tc>
      </w:tr>
      <w:tr>
        <w:trPr>
          <w:cantSplit/>
        </w:trPr>
        <w:tc>
          <w:tcPr>
            <w:tcW w:type="dxa" w:w="3043"/>
          </w:tcPr>
          <w:p>
            <w:r>
              <w:t>結構鋼筋綁紮完成</w:t>
            </w:r>
          </w:p>
        </w:tc>
        <w:tc>
          <w:tcPr>
            <w:tcW w:type="dxa" w:w="3043"/>
          </w:tcPr>
          <w:p>
            <w:r>
              <w:t>查驗柱梁接頭錨定長度、保護層厚度、搭接長度及開口補強鋼筋配置</w:t>
            </w:r>
          </w:p>
        </w:tc>
        <w:tc>
          <w:tcPr>
            <w:tcW w:type="dxa" w:w="3043"/>
          </w:tcPr>
          <w:p>
            <w:r>
              <w:t>鋼筋自主查驗簽認表、現場查驗照片</w:t>
            </w:r>
          </w:p>
        </w:tc>
      </w:tr>
      <w:tr>
        <w:trPr>
          <w:cantSplit/>
        </w:trPr>
        <w:tc>
          <w:tcPr>
            <w:tcW w:type="dxa" w:w="3043"/>
          </w:tcPr>
          <w:p>
            <w:r>
              <w:t>混凝土澆置前查核</w:t>
            </w:r>
          </w:p>
        </w:tc>
        <w:tc>
          <w:tcPr>
            <w:tcW w:type="dxa" w:w="3043"/>
          </w:tcPr>
          <w:p>
            <w:r>
              <w:t>查驗模板支撐穩定度、脫模劑塗布、預埋管線固定及施工縫處理</w:t>
            </w:r>
          </w:p>
        </w:tc>
        <w:tc>
          <w:tcPr>
            <w:tcW w:type="dxa" w:w="3043"/>
          </w:tcPr>
          <w:p>
            <w:r>
              <w:t>澆置查驗簽署單、監造抽查會簽單</w:t>
            </w:r>
          </w:p>
        </w:tc>
      </w:tr>
      <w:tr>
        <w:trPr>
          <w:cantSplit/>
        </w:trPr>
        <w:tc>
          <w:tcPr>
            <w:tcW w:type="dxa" w:w="3043"/>
          </w:tcPr>
          <w:p>
            <w:r>
              <w:t>重大施工工法變更</w:t>
            </w:r>
          </w:p>
        </w:tc>
        <w:tc>
          <w:tcPr>
            <w:tcW w:type="dxa" w:w="3043"/>
          </w:tcPr>
          <w:p>
            <w:r>
              <w:t>審核支撐結構計算書、臨時擋土施工圖說並出具技術評估意見</w:t>
            </w:r>
          </w:p>
        </w:tc>
        <w:tc>
          <w:tcPr>
            <w:tcW w:type="dxa" w:w="3043"/>
          </w:tcPr>
          <w:p>
            <w:r>
              <w:t>技師簽證審查意見書、安全計算報告</w:t>
            </w:r>
          </w:p>
        </w:tc>
      </w:tr>
      <w:tr>
        <w:trPr>
          <w:cantSplit/>
        </w:trPr>
        <w:tc>
          <w:tcPr>
            <w:tcW w:type="dxa" w:w="3043"/>
          </w:tcPr>
          <w:p>
            <w:r>
              <w:t>施工查核與重大缺失改善</w:t>
            </w:r>
          </w:p>
        </w:tc>
        <w:tc>
          <w:tcPr>
            <w:tcW w:type="dxa" w:w="3043"/>
          </w:tcPr>
          <w:p>
            <w:r>
              <w:t>工程會查核小組督導時到場說明，指導結構性瑕疵之根本矯正對策</w:t>
            </w:r>
          </w:p>
        </w:tc>
        <w:tc>
          <w:tcPr>
            <w:tcW w:type="dxa" w:w="3043"/>
          </w:tcPr>
          <w:p>
            <w:r>
              <w:t>查核小組紀錄簽名、缺失改善對策簽認表</w:t>
            </w:r>
          </w:p>
        </w:tc>
      </w:tr>
    </w:tbl>
    <w:p>
      <w:pPr>
        <w:pStyle w:val="Heading2"/>
      </w:pPr>
      <w:r>
        <w:t>2.3 工地主任與品管人員工作重點</w:t>
      </w:r>
    </w:p>
    <w:p>
      <w:r>
        <w:t>1. 專職品管人員職責：依工程會規定取得品管班合格證書，專職常駐工地，負責依核定計畫書執行施工品質稽核、審查材料檢驗合格報告、統計不合格品缺失改善情形，並按日填報品管自主檢查報表，落實材料送審追蹤管制。</w:t>
        <w:br/>
        <w:t>2. 現場工程師與領班：嚴格依施工要領及標準作業程序施工，於各檢驗停留點（Hold Point）前主動完成自主檢查。</w:t>
      </w:r>
    </w:p>
    <w:p>
      <w:pPr>
        <w:pStyle w:val="Heading1"/>
      </w:pPr>
      <w:r>
        <w:t>第三章 施工要領與作業程序</w:t>
      </w:r>
    </w:p>
    <w:p>
      <w:pPr>
        <w:pStyle w:val="Heading2"/>
      </w:pPr>
      <w:r>
        <w:t>3.1 分項工程劃分與施工流程</w:t>
      </w:r>
    </w:p>
    <w:p>
      <w:r>
        <w:t>本標案依工種特性劃分為四大主要分項工程，各分項於開工前均須提送專門分項施工計畫書經監造審定：</w:t>
        <w:br/>
        <w:t>（1）基礎與擋土工程：排樁引孔、擋土安全監測、土方分層開挖、地下安全支撐。</w:t>
        <w:br/>
        <w:t>（2）鋼筋工程：進場材料檢驗、加工彎折、吊運存放、現場綁紮固定、保護層墊塊設置。</w:t>
        <w:br/>
        <w:t>（3）模板工程：放樣彈線、模板組立、支撐架設、繫件緊密螺栓鎖固、塗刷脫模劑。</w:t>
        <w:br/>
        <w:t>（4）混凝土工程：預拌廠評鑑、配比設計、澆置前查驗、泵送搗實、施工縫處理、濕治養護。</w:t>
      </w:r>
    </w:p>
    <w:p>
      <w:pPr>
        <w:pStyle w:val="Heading2"/>
      </w:pPr>
      <w:r>
        <w:t>3.2 主要分項工程施工要領</w:t>
      </w:r>
    </w:p>
    <w:p>
      <w:r>
        <w:t>【鋼筋工程施工要領重點】：</w:t>
        <w:br/>
        <w:t>- 鋼筋表面應保持清潔，無浮銹、油脂、泥土或其他影響握裹力之有害雜質。</w:t>
        <w:br/>
        <w:t>- 鋼筋彎折一律以常溫機械彎折，嚴禁現場火烤加熱彎折。</w:t>
        <w:br/>
        <w:t>- 梁柱接頭箍筋第一道起步筋距柱邊不得大於 5 公分，135 度彎鉤平直長度須達 10d 且不小於 7.5 公分。</w:t>
        <w:br/>
        <w:t>- 樓板與梁柱外圍保護層厚度嚴格落實水泥砂漿墊塊或塑膠環形墊塊固定，每平方公尺不得少於 4 處。</w:t>
        <w:br/>
        <w:br/>
        <w:t>【混凝土工程施工要領重點】：</w:t>
        <w:br/>
        <w:t>- 混凝土自出機至現場澆置完成之時間，不得超過 90 分鐘。</w:t>
        <w:br/>
        <w:t>- 泵送自由傾落高度不得大於 1.5 公尺，避免骨材分離；澆置時插入式振動棒間距不大於 45 公分，垂直快速插入緩慢拔出，不得接觸鋼筋及模板震動。</w:t>
      </w:r>
    </w:p>
    <w:p>
      <w:pPr>
        <w:pStyle w:val="Heading1"/>
      </w:pPr>
      <w:r>
        <w:t>第四章 品質管理標準</w:t>
      </w:r>
    </w:p>
    <w:p>
      <w:pPr>
        <w:pStyle w:val="Heading2"/>
      </w:pPr>
      <w:r>
        <w:t>4.1 施工品質管理標準表</w:t>
      </w:r>
    </w:p>
    <w:p>
      <w:r>
        <w:t>本工程各核心分項制定精確品質管理標準，作為自主檢查、品管抽查及監造查驗之法定基準依據：</w:t>
      </w:r>
    </w:p>
    <w:tbl>
      <w:tblPr>
        <w:tblStyle w:val="TableGrid"/>
        <w:tblW w:type="auto" w:w="0"/>
        <w:tblLook w:firstColumn="1" w:firstRow="1" w:lastColumn="0" w:lastRow="0" w:noHBand="0" w:noVBand="1" w:val="04A0"/>
      </w:tblPr>
      <w:tblGrid>
        <w:gridCol w:w="1522"/>
        <w:gridCol w:w="1522"/>
        <w:gridCol w:w="1522"/>
        <w:gridCol w:w="1522"/>
        <w:gridCol w:w="1522"/>
        <w:gridCol w:w="1522"/>
      </w:tblGrid>
      <w:tr>
        <w:trPr>
          <w:tblHeader/>
          <w:cantSplit/>
        </w:trPr>
        <w:tc>
          <w:tcPr>
            <w:tcW w:type="dxa" w:w="1522"/>
            <w:shd w:fill="1F497D"/>
          </w:tcPr>
          <w:p>
            <w:r>
              <w:t>分項工程</w:t>
            </w:r>
          </w:p>
        </w:tc>
        <w:tc>
          <w:tcPr>
            <w:tcW w:type="dxa" w:w="1522"/>
            <w:shd w:fill="1F497D"/>
          </w:tcPr>
          <w:p>
            <w:r>
              <w:t>管理項目</w:t>
            </w:r>
          </w:p>
        </w:tc>
        <w:tc>
          <w:tcPr>
            <w:tcW w:type="dxa" w:w="1522"/>
            <w:shd w:fill="1F497D"/>
          </w:tcPr>
          <w:p>
            <w:r>
              <w:t>品質管理標準</w:t>
            </w:r>
          </w:p>
        </w:tc>
        <w:tc>
          <w:tcPr>
            <w:tcW w:type="dxa" w:w="1522"/>
            <w:shd w:fill="1F497D"/>
          </w:tcPr>
          <w:p>
            <w:r>
              <w:t>檢查時機</w:t>
            </w:r>
          </w:p>
        </w:tc>
        <w:tc>
          <w:tcPr>
            <w:tcW w:type="dxa" w:w="1522"/>
            <w:shd w:fill="1F497D"/>
          </w:tcPr>
          <w:p>
            <w:r>
              <w:t>檢查方法與工具</w:t>
            </w:r>
          </w:p>
        </w:tc>
        <w:tc>
          <w:tcPr>
            <w:tcW w:type="dxa" w:w="1522"/>
            <w:shd w:fill="1F497D"/>
          </w:tcPr>
          <w:p>
            <w:r>
              <w:t>不合格處置</w:t>
            </w:r>
          </w:p>
        </w:tc>
      </w:tr>
      <w:tr>
        <w:trPr>
          <w:cantSplit/>
        </w:trPr>
        <w:tc>
          <w:tcPr>
            <w:tcW w:type="dxa" w:w="1522"/>
          </w:tcPr>
          <w:p>
            <w:r>
              <w:t>鋼筋工程</w:t>
            </w:r>
          </w:p>
        </w:tc>
        <w:tc>
          <w:tcPr>
            <w:tcW w:type="dxa" w:w="1522"/>
          </w:tcPr>
          <w:p>
            <w:r>
              <w:t>間距與保護層</w:t>
            </w:r>
          </w:p>
        </w:tc>
        <w:tc>
          <w:tcPr>
            <w:tcW w:type="dxa" w:w="1522"/>
          </w:tcPr>
          <w:p>
            <w:r>
              <w:t>梁柱公差在 ±1cm 內；板牆公差在 ±0.5cm 內</w:t>
            </w:r>
          </w:p>
        </w:tc>
        <w:tc>
          <w:tcPr>
            <w:tcW w:type="dxa" w:w="1522"/>
          </w:tcPr>
          <w:p>
            <w:r>
              <w:t>綁紮完成後澆置前</w:t>
            </w:r>
          </w:p>
        </w:tc>
        <w:tc>
          <w:tcPr>
            <w:tcW w:type="dxa" w:w="1522"/>
          </w:tcPr>
          <w:p>
            <w:r>
              <w:t>捲尺量測、游標卡尺</w:t>
            </w:r>
          </w:p>
        </w:tc>
        <w:tc>
          <w:tcPr>
            <w:tcW w:type="dxa" w:w="1522"/>
          </w:tcPr>
          <w:p>
            <w:r>
              <w:t>拆卸重新綁紮調整墊塊</w:t>
            </w:r>
          </w:p>
        </w:tc>
      </w:tr>
      <w:tr>
        <w:trPr>
          <w:cantSplit/>
        </w:trPr>
        <w:tc>
          <w:tcPr>
            <w:tcW w:type="dxa" w:w="1522"/>
          </w:tcPr>
          <w:p>
            <w:r>
              <w:t>鋼筋工程</w:t>
            </w:r>
          </w:p>
        </w:tc>
        <w:tc>
          <w:tcPr>
            <w:tcW w:type="dxa" w:w="1522"/>
          </w:tcPr>
          <w:p>
            <w:r>
              <w:t>搭接長度</w:t>
            </w:r>
          </w:p>
        </w:tc>
        <w:tc>
          <w:tcPr>
            <w:tcW w:type="dxa" w:w="1522"/>
          </w:tcPr>
          <w:p>
            <w:r>
              <w:t>拉力搭接依設計圖規定，不小於 40d ~ 60d</w:t>
            </w:r>
          </w:p>
        </w:tc>
        <w:tc>
          <w:tcPr>
            <w:tcW w:type="dxa" w:w="1522"/>
          </w:tcPr>
          <w:p>
            <w:r>
              <w:t>加工及綁紮時</w:t>
            </w:r>
          </w:p>
        </w:tc>
        <w:tc>
          <w:tcPr>
            <w:tcW w:type="dxa" w:w="1522"/>
          </w:tcPr>
          <w:p>
            <w:r>
              <w:t>捲尺抽量各部位接頭</w:t>
            </w:r>
          </w:p>
        </w:tc>
        <w:tc>
          <w:tcPr>
            <w:tcW w:type="dxa" w:w="1522"/>
          </w:tcPr>
          <w:p>
            <w:r>
              <w:t>焊接補強或增加搭接長度</w:t>
            </w:r>
          </w:p>
        </w:tc>
      </w:tr>
      <w:tr>
        <w:trPr>
          <w:cantSplit/>
        </w:trPr>
        <w:tc>
          <w:tcPr>
            <w:tcW w:type="dxa" w:w="1522"/>
          </w:tcPr>
          <w:p>
            <w:r>
              <w:t>模板工程</w:t>
            </w:r>
          </w:p>
        </w:tc>
        <w:tc>
          <w:tcPr>
            <w:tcW w:type="dxa" w:w="1522"/>
          </w:tcPr>
          <w:p>
            <w:r>
              <w:t>垂直度平整度</w:t>
            </w:r>
          </w:p>
        </w:tc>
        <w:tc>
          <w:tcPr>
            <w:tcW w:type="dxa" w:w="1522"/>
          </w:tcPr>
          <w:p>
            <w:r>
              <w:t>垂直公差 3m 內不大於 3mm；平整度不大於 2mm</w:t>
            </w:r>
          </w:p>
        </w:tc>
        <w:tc>
          <w:tcPr>
            <w:tcW w:type="dxa" w:w="1522"/>
          </w:tcPr>
          <w:p>
            <w:r>
              <w:t>模板組立加固後</w:t>
            </w:r>
          </w:p>
        </w:tc>
        <w:tc>
          <w:tcPr>
            <w:tcW w:type="dxa" w:w="1522"/>
          </w:tcPr>
          <w:p>
            <w:r>
              <w:t>水準儀、雷射經緯儀、水平尺</w:t>
            </w:r>
          </w:p>
        </w:tc>
        <w:tc>
          <w:tcPr>
            <w:tcW w:type="dxa" w:w="1522"/>
          </w:tcPr>
          <w:p>
            <w:r>
              <w:t>鬆開支撐調整螺桿重新調校</w:t>
            </w:r>
          </w:p>
        </w:tc>
      </w:tr>
      <w:tr>
        <w:trPr>
          <w:cantSplit/>
        </w:trPr>
        <w:tc>
          <w:tcPr>
            <w:tcW w:type="dxa" w:w="1522"/>
          </w:tcPr>
          <w:p>
            <w:r>
              <w:t>混凝土工程</w:t>
            </w:r>
          </w:p>
        </w:tc>
        <w:tc>
          <w:tcPr>
            <w:tcW w:type="dxa" w:w="1522"/>
          </w:tcPr>
          <w:p>
            <w:r>
              <w:t>坍度與氯離子</w:t>
            </w:r>
          </w:p>
        </w:tc>
        <w:tc>
          <w:tcPr>
            <w:tcW w:type="dxa" w:w="1522"/>
          </w:tcPr>
          <w:p>
            <w:r>
              <w:t>坍度 15±3.8cm；水溶性氯離子含量小於 0.15kg/m3</w:t>
            </w:r>
          </w:p>
        </w:tc>
        <w:tc>
          <w:tcPr>
            <w:tcW w:type="dxa" w:w="1522"/>
          </w:tcPr>
          <w:p>
            <w:r>
              <w:t>每車進場澆置前</w:t>
            </w:r>
          </w:p>
        </w:tc>
        <w:tc>
          <w:tcPr>
            <w:tcW w:type="dxa" w:w="1522"/>
          </w:tcPr>
          <w:p>
            <w:r>
              <w:t>坍度筒檢驗、硬化前氯離子儀</w:t>
            </w:r>
          </w:p>
        </w:tc>
        <w:tc>
          <w:tcPr>
            <w:tcW w:type="dxa" w:w="1522"/>
          </w:tcPr>
          <w:p>
            <w:r>
              <w:t>整車退回原預拌廠不准使用</w:t>
            </w:r>
          </w:p>
        </w:tc>
      </w:tr>
      <w:tr>
        <w:trPr>
          <w:cantSplit/>
        </w:trPr>
        <w:tc>
          <w:tcPr>
            <w:tcW w:type="dxa" w:w="1522"/>
          </w:tcPr>
          <w:p>
            <w:r>
              <w:t>混凝土工程</w:t>
            </w:r>
          </w:p>
        </w:tc>
        <w:tc>
          <w:tcPr>
            <w:tcW w:type="dxa" w:w="1522"/>
          </w:tcPr>
          <w:p>
            <w:r>
              <w:t>28天抗壓強度</w:t>
            </w:r>
          </w:p>
        </w:tc>
        <w:tc>
          <w:tcPr>
            <w:tcW w:type="dxa" w:w="1522"/>
          </w:tcPr>
          <w:p>
            <w:r>
              <w:t>取樣試體強度不低於設計強度 fc' (280 kgf/cm2)</w:t>
            </w:r>
          </w:p>
        </w:tc>
        <w:tc>
          <w:tcPr>
            <w:tcW w:type="dxa" w:w="1522"/>
          </w:tcPr>
          <w:p>
            <w:r>
              <w:t>依規定天數養護試壓</w:t>
            </w:r>
          </w:p>
        </w:tc>
        <w:tc>
          <w:tcPr>
            <w:tcW w:type="dxa" w:w="1522"/>
          </w:tcPr>
          <w:p>
            <w:r>
              <w:t>萬能試驗機 (TAF認證實驗室)</w:t>
            </w:r>
          </w:p>
        </w:tc>
        <w:tc>
          <w:tcPr>
            <w:tcW w:type="dxa" w:w="1522"/>
          </w:tcPr>
          <w:p>
            <w:r>
              <w:t>鑽心取樣試驗並評估結構安全</w:t>
            </w:r>
          </w:p>
        </w:tc>
      </w:tr>
    </w:tbl>
    <w:p>
      <w:pPr>
        <w:pStyle w:val="Heading1"/>
      </w:pPr>
      <w:r>
        <w:t>第五章 材料及施工檢驗程序</w:t>
      </w:r>
    </w:p>
    <w:p>
      <w:pPr>
        <w:pStyle w:val="Heading2"/>
      </w:pPr>
      <w:r>
        <w:t>5.1 材料設備送審管制總表與程序</w:t>
      </w:r>
    </w:p>
    <w:p>
      <w:r>
        <w:t>所有材料設備於進場使用前 30 日曆天，承造商應備齊出廠證明、原廠檢驗合格報告、型錄規格書及樣品，填具材料送審單提請監造單位審查核定。材料進場時會同監造抽樣送驗，試驗合格後始得使用於主體工程。</w:t>
      </w:r>
    </w:p>
    <w:tbl>
      <w:tblPr>
        <w:tblStyle w:val="TableGrid"/>
        <w:tblW w:type="auto" w:w="0"/>
        <w:tblLook w:firstColumn="1" w:firstRow="1" w:lastColumn="0" w:lastRow="0" w:noHBand="0" w:noVBand="1" w:val="04A0"/>
      </w:tblPr>
      <w:tblGrid>
        <w:gridCol w:w="1826"/>
        <w:gridCol w:w="1826"/>
        <w:gridCol w:w="1826"/>
        <w:gridCol w:w="1826"/>
        <w:gridCol w:w="1826"/>
      </w:tblGrid>
      <w:tr>
        <w:trPr>
          <w:tblHeader/>
          <w:cantSplit/>
        </w:trPr>
        <w:tc>
          <w:tcPr>
            <w:tcW w:type="dxa" w:w="1826"/>
            <w:shd w:fill="1F497D"/>
          </w:tcPr>
          <w:p>
            <w:r>
              <w:t>材料名稱</w:t>
            </w:r>
          </w:p>
        </w:tc>
        <w:tc>
          <w:tcPr>
            <w:tcW w:type="dxa" w:w="1826"/>
            <w:shd w:fill="1F497D"/>
          </w:tcPr>
          <w:p>
            <w:r>
              <w:t>規格標準 / 契約依據</w:t>
            </w:r>
          </w:p>
        </w:tc>
        <w:tc>
          <w:tcPr>
            <w:tcW w:type="dxa" w:w="1826"/>
            <w:shd w:fill="1F497D"/>
          </w:tcPr>
          <w:p>
            <w:r>
              <w:t>進場抽驗頻率</w:t>
            </w:r>
          </w:p>
        </w:tc>
        <w:tc>
          <w:tcPr>
            <w:tcW w:type="dxa" w:w="1826"/>
            <w:shd w:fill="1F497D"/>
          </w:tcPr>
          <w:p>
            <w:r>
              <w:t>檢驗項目與依據</w:t>
            </w:r>
          </w:p>
        </w:tc>
        <w:tc>
          <w:tcPr>
            <w:tcW w:type="dxa" w:w="1826"/>
            <w:shd w:fill="1F497D"/>
          </w:tcPr>
          <w:p>
            <w:r>
              <w:t>檢驗機構</w:t>
            </w:r>
          </w:p>
        </w:tc>
      </w:tr>
      <w:tr>
        <w:trPr>
          <w:cantSplit/>
        </w:trPr>
        <w:tc>
          <w:tcPr>
            <w:tcW w:type="dxa" w:w="1826"/>
          </w:tcPr>
          <w:p>
            <w:r>
              <w:t>竹節鋼筋</w:t>
            </w:r>
          </w:p>
        </w:tc>
        <w:tc>
          <w:tcPr>
            <w:tcW w:type="dxa" w:w="1826"/>
          </w:tcPr>
          <w:p>
            <w:r>
              <w:t>CNS 560 SD420W 耐震熱軋鋼筋</w:t>
            </w:r>
          </w:p>
        </w:tc>
        <w:tc>
          <w:tcPr>
            <w:tcW w:type="dxa" w:w="1826"/>
          </w:tcPr>
          <w:p>
            <w:r>
              <w:t>每批 50 公噸或每規格各取樣 1 組</w:t>
            </w:r>
          </w:p>
        </w:tc>
        <w:tc>
          <w:tcPr>
            <w:tcW w:type="dxa" w:w="1826"/>
          </w:tcPr>
          <w:p>
            <w:r>
              <w:t>抗拉強度、屈服強度、伸長率、彎曲試驗</w:t>
            </w:r>
          </w:p>
        </w:tc>
        <w:tc>
          <w:tcPr>
            <w:tcW w:type="dxa" w:w="1826"/>
          </w:tcPr>
          <w:p>
            <w:r>
              <w:t>TAF 認證材料實驗室</w:t>
            </w:r>
          </w:p>
        </w:tc>
      </w:tr>
      <w:tr>
        <w:trPr>
          <w:cantSplit/>
        </w:trPr>
        <w:tc>
          <w:tcPr>
            <w:tcW w:type="dxa" w:w="1826"/>
          </w:tcPr>
          <w:p>
            <w:r>
              <w:t>預拌混凝土</w:t>
            </w:r>
          </w:p>
        </w:tc>
        <w:tc>
          <w:tcPr>
            <w:tcW w:type="dxa" w:w="1826"/>
          </w:tcPr>
          <w:p>
            <w:r>
              <w:t>CNS 3090 / 280 kgf/cm2 及 350 kgf/cm2</w:t>
            </w:r>
          </w:p>
        </w:tc>
        <w:tc>
          <w:tcPr>
            <w:tcW w:type="dxa" w:w="1826"/>
          </w:tcPr>
          <w:p>
            <w:r>
              <w:t>每 100 立方公尺或每日澆置取樣 1 組 (5個試體)</w:t>
            </w:r>
          </w:p>
        </w:tc>
        <w:tc>
          <w:tcPr>
            <w:tcW w:type="dxa" w:w="1826"/>
          </w:tcPr>
          <w:p>
            <w:r>
              <w:t>坍度、氯離子含量、7天及28天抗壓強度</w:t>
            </w:r>
          </w:p>
        </w:tc>
        <w:tc>
          <w:tcPr>
            <w:tcW w:type="dxa" w:w="1826"/>
          </w:tcPr>
          <w:p>
            <w:r>
              <w:t>工地現場初檢 + TAF認證實驗室</w:t>
            </w:r>
          </w:p>
        </w:tc>
      </w:tr>
      <w:tr>
        <w:trPr>
          <w:cantSplit/>
        </w:trPr>
        <w:tc>
          <w:tcPr>
            <w:tcW w:type="dxa" w:w="1826"/>
          </w:tcPr>
          <w:p>
            <w:r>
              <w:t>無收縮水泥砂漿</w:t>
            </w:r>
          </w:p>
        </w:tc>
        <w:tc>
          <w:tcPr>
            <w:tcW w:type="dxa" w:w="1826"/>
          </w:tcPr>
          <w:p>
            <w:r>
              <w:t>CNS 14936 早期高強非金屬型</w:t>
            </w:r>
          </w:p>
        </w:tc>
        <w:tc>
          <w:tcPr>
            <w:tcW w:type="dxa" w:w="1826"/>
          </w:tcPr>
          <w:p>
            <w:r>
              <w:t>每批進場 200 包取樣 1 組</w:t>
            </w:r>
          </w:p>
        </w:tc>
        <w:tc>
          <w:tcPr>
            <w:tcW w:type="dxa" w:w="1826"/>
          </w:tcPr>
          <w:p>
            <w:r>
              <w:t>流動度、膨脹率、3天及28天抗壓強度</w:t>
            </w:r>
          </w:p>
        </w:tc>
        <w:tc>
          <w:tcPr>
            <w:tcW w:type="dxa" w:w="1826"/>
          </w:tcPr>
          <w:p>
            <w:r>
              <w:t>TAF 認證材料實驗室</w:t>
            </w:r>
          </w:p>
        </w:tc>
      </w:tr>
      <w:tr>
        <w:trPr>
          <w:cantSplit/>
        </w:trPr>
        <w:tc>
          <w:tcPr>
            <w:tcW w:type="dxa" w:w="1826"/>
          </w:tcPr>
          <w:p>
            <w:r>
              <w:t>自黏性防水毯</w:t>
            </w:r>
          </w:p>
        </w:tc>
        <w:tc>
          <w:tcPr>
            <w:tcW w:type="dxa" w:w="1826"/>
          </w:tcPr>
          <w:p>
            <w:r>
              <w:t>CNS 10159 / 彈性改質瀝青厚 2.0mm</w:t>
            </w:r>
          </w:p>
        </w:tc>
        <w:tc>
          <w:tcPr>
            <w:tcW w:type="dxa" w:w="1826"/>
          </w:tcPr>
          <w:p>
            <w:r>
              <w:t>每批進場每 1000 平方公尺取樣 1 組</w:t>
            </w:r>
          </w:p>
        </w:tc>
        <w:tc>
          <w:tcPr>
            <w:tcW w:type="dxa" w:w="1826"/>
          </w:tcPr>
          <w:p>
            <w:r>
              <w:t>拉伸強度、斷裂伸長率、低溫耐寒撓度</w:t>
            </w:r>
          </w:p>
        </w:tc>
        <w:tc>
          <w:tcPr>
            <w:tcW w:type="dxa" w:w="1826"/>
          </w:tcPr>
          <w:p>
            <w:r>
              <w:t>TAF 認證材料實驗室</w:t>
            </w:r>
          </w:p>
        </w:tc>
      </w:tr>
    </w:tbl>
    <w:p>
      <w:pPr>
        <w:pStyle w:val="Heading2"/>
      </w:pPr>
      <w:r>
        <w:t>5.2 檢驗停留點（Hold Point）管制措施</w:t>
      </w:r>
    </w:p>
    <w:p>
      <w:r>
        <w:t>本工程明訂關鍵檢驗停留點（Hold Point），承造廠商未經自主檢查合格並經監造單位現場查驗簽認合格前，絕對不得擅自進行下一道工序。關鍵停留點包含：</w:t>
        <w:br/>
        <w:t>1. 基礎開挖達預定高程查驗。</w:t>
        <w:br/>
        <w:t>2. 基礎底板及各樓層梁柱板鋼筋綁紮完成驗收。</w:t>
        <w:br/>
        <w:t>3. 模板支撐組立完成及澆置前查驗。</w:t>
        <w:br/>
        <w:t>4. 結構體防水層施作前基層查驗與試水試驗。</w:t>
        <w:br/>
        <w:t>5. 隱蔽管線壓力試驗完成查驗。</w:t>
      </w:r>
    </w:p>
    <w:p>
      <w:pPr>
        <w:pStyle w:val="Heading1"/>
      </w:pPr>
      <w:r>
        <w:t>第六章 自主檢查與管制措施</w:t>
      </w:r>
    </w:p>
    <w:p>
      <w:pPr>
        <w:pStyle w:val="Heading2"/>
      </w:pPr>
      <w:r>
        <w:t>6.1 三級品管自主檢查機制</w:t>
      </w:r>
    </w:p>
    <w:p>
      <w:r>
        <w:t>現場工程師於每日施工分項進行時，必須攜帶自主檢查表至現場逐項實測實量並勾稽記錄，檢查合格後簽名陳報專任品管人員。品管人員依核定之抽查比率（不得低於 30%）進行實體複查，複查無誤後始向監造單位提出查驗申請。</w:t>
      </w:r>
    </w:p>
    <w:p>
      <w:pPr>
        <w:pStyle w:val="Heading2"/>
      </w:pPr>
      <w:r>
        <w:t>6.2 分項工程自主檢查表清單（標準表單示範）</w:t>
      </w:r>
    </w:p>
    <w:p>
      <w:r>
        <w:t>本計畫書附錄納入 15 項施工自主檢查表，以下為《鋼筋工程自主檢查表》（表 6-1 示範樣版）：</w:t>
      </w:r>
    </w:p>
    <w:tbl>
      <w:tblPr>
        <w:tblStyle w:val="TableGrid"/>
        <w:tblW w:type="auto" w:w="0"/>
        <w:tblLook w:firstColumn="1" w:firstRow="1" w:lastColumn="0" w:lastRow="0" w:noHBand="0" w:noVBand="1" w:val="04A0"/>
      </w:tblPr>
      <w:tblGrid>
        <w:gridCol w:w="2282"/>
        <w:gridCol w:w="2282"/>
        <w:gridCol w:w="2282"/>
        <w:gridCol w:w="2282"/>
      </w:tblGrid>
      <w:tr>
        <w:trPr>
          <w:tblHeader/>
          <w:cantSplit/>
        </w:trPr>
        <w:tc>
          <w:tcPr>
            <w:tcW w:type="dxa" w:w="2282"/>
            <w:shd w:fill="1F497D"/>
          </w:tcPr>
          <w:p>
            <w:r>
              <w:t>檢查項目與步驟</w:t>
            </w:r>
          </w:p>
        </w:tc>
        <w:tc>
          <w:tcPr>
            <w:tcW w:type="dxa" w:w="2282"/>
            <w:shd w:fill="1F497D"/>
          </w:tcPr>
          <w:p>
            <w:r>
              <w:t>契約品質標準及規範要求</w:t>
            </w:r>
          </w:p>
        </w:tc>
        <w:tc>
          <w:tcPr>
            <w:tcW w:type="dxa" w:w="2282"/>
            <w:shd w:fill="1F497D"/>
          </w:tcPr>
          <w:p>
            <w:r>
              <w:t>現場實際檢查結果記錄</w:t>
            </w:r>
          </w:p>
        </w:tc>
        <w:tc>
          <w:tcPr>
            <w:tcW w:type="dxa" w:w="2282"/>
            <w:shd w:fill="1F497D"/>
          </w:tcPr>
          <w:p>
            <w:r>
              <w:t>判定 (合格/不合格)</w:t>
            </w:r>
          </w:p>
        </w:tc>
      </w:tr>
      <w:tr>
        <w:trPr>
          <w:cantSplit/>
        </w:trPr>
        <w:tc>
          <w:tcPr>
            <w:tcW w:type="dxa" w:w="2282"/>
          </w:tcPr>
          <w:p>
            <w:r>
              <w:t>1. 鋼筋進場規格與合格出廠標示</w:t>
            </w:r>
          </w:p>
        </w:tc>
        <w:tc>
          <w:tcPr>
            <w:tcW w:type="dxa" w:w="2282"/>
          </w:tcPr>
          <w:p>
            <w:r>
              <w:t>符合 CNS 560 規定，標示清楚無嚴重浮銹</w:t>
            </w:r>
          </w:p>
        </w:tc>
        <w:tc>
          <w:tcPr>
            <w:tcW w:type="dxa" w:w="2282"/>
          </w:tcPr>
          <w:p>
            <w:r>
              <w:t>規格符合標案圖說要求</w:t>
            </w:r>
          </w:p>
        </w:tc>
        <w:tc>
          <w:tcPr>
            <w:tcW w:type="dxa" w:w="2282"/>
          </w:tcPr>
          <w:p>
            <w:r>
              <w:t>合格</w:t>
            </w:r>
          </w:p>
        </w:tc>
      </w:tr>
      <w:tr>
        <w:trPr>
          <w:cantSplit/>
        </w:trPr>
        <w:tc>
          <w:tcPr>
            <w:tcW w:type="dxa" w:w="2282"/>
          </w:tcPr>
          <w:p>
            <w:r>
              <w:t>2. 鋼筋搭接長度與位置錯開</w:t>
            </w:r>
          </w:p>
        </w:tc>
        <w:tc>
          <w:tcPr>
            <w:tcW w:type="dxa" w:w="2282"/>
          </w:tcPr>
          <w:p>
            <w:r>
              <w:t>受拉搭接長度不小於 45d，相鄰搭接錯開 60cm 以上</w:t>
            </w:r>
          </w:p>
        </w:tc>
        <w:tc>
          <w:tcPr>
            <w:tcW w:type="dxa" w:w="2282"/>
          </w:tcPr>
          <w:p>
            <w:r>
              <w:t>搭接長度 75cm，位置依圖錯開</w:t>
            </w:r>
          </w:p>
        </w:tc>
        <w:tc>
          <w:tcPr>
            <w:tcW w:type="dxa" w:w="2282"/>
          </w:tcPr>
          <w:p>
            <w:r>
              <w:t>合格</w:t>
            </w:r>
          </w:p>
        </w:tc>
      </w:tr>
      <w:tr>
        <w:trPr>
          <w:cantSplit/>
        </w:trPr>
        <w:tc>
          <w:tcPr>
            <w:tcW w:type="dxa" w:w="2282"/>
          </w:tcPr>
          <w:p>
            <w:r>
              <w:t>3. 梁柱接頭核心區箍筋綁紮</w:t>
            </w:r>
          </w:p>
        </w:tc>
        <w:tc>
          <w:tcPr>
            <w:tcW w:type="dxa" w:w="2282"/>
          </w:tcPr>
          <w:p>
            <w:r>
              <w:t>柱箍筋維持閉合圍束，梁柱接頭內箍筋確實綁紮</w:t>
            </w:r>
          </w:p>
        </w:tc>
        <w:tc>
          <w:tcPr>
            <w:tcW w:type="dxa" w:w="2282"/>
          </w:tcPr>
          <w:p>
            <w:r>
              <w:t>接頭內配置 3 道閉合箍筋</w:t>
            </w:r>
          </w:p>
        </w:tc>
        <w:tc>
          <w:tcPr>
            <w:tcW w:type="dxa" w:w="2282"/>
          </w:tcPr>
          <w:p>
            <w:r>
              <w:t>合格</w:t>
            </w:r>
          </w:p>
        </w:tc>
      </w:tr>
      <w:tr>
        <w:trPr>
          <w:cantSplit/>
        </w:trPr>
        <w:tc>
          <w:tcPr>
            <w:tcW w:type="dxa" w:w="2282"/>
          </w:tcPr>
          <w:p>
            <w:r>
              <w:t>4. 開口角隅處斜向補強鋼筋</w:t>
            </w:r>
          </w:p>
        </w:tc>
        <w:tc>
          <w:tcPr>
            <w:tcW w:type="dxa" w:w="2282"/>
          </w:tcPr>
          <w:p>
            <w:r>
              <w:t>門窗開口 4 角各配置 2 支 #4 斜向 45 度補強筋</w:t>
            </w:r>
          </w:p>
        </w:tc>
        <w:tc>
          <w:tcPr>
            <w:tcW w:type="dxa" w:w="2282"/>
          </w:tcPr>
          <w:p>
            <w:r>
              <w:t>4 個角隅均配置 2 支 #4 補強筋</w:t>
            </w:r>
          </w:p>
        </w:tc>
        <w:tc>
          <w:tcPr>
            <w:tcW w:type="dxa" w:w="2282"/>
          </w:tcPr>
          <w:p>
            <w:r>
              <w:t>合格</w:t>
            </w:r>
          </w:p>
        </w:tc>
      </w:tr>
      <w:tr>
        <w:trPr>
          <w:cantSplit/>
        </w:trPr>
        <w:tc>
          <w:tcPr>
            <w:tcW w:type="dxa" w:w="2282"/>
          </w:tcPr>
          <w:p>
            <w:r>
              <w:t>5. 保護層墊塊配置數量與間距</w:t>
            </w:r>
          </w:p>
        </w:tc>
        <w:tc>
          <w:tcPr>
            <w:tcW w:type="dxa" w:w="2282"/>
          </w:tcPr>
          <w:p>
            <w:r>
              <w:t>每平方公尺不得少於 4 處，材質為高密度水泥塊</w:t>
            </w:r>
          </w:p>
        </w:tc>
        <w:tc>
          <w:tcPr>
            <w:tcW w:type="dxa" w:w="2282"/>
          </w:tcPr>
          <w:p>
            <w:r>
              <w:t>間距約 80cm，配置均勻牢固</w:t>
            </w:r>
          </w:p>
        </w:tc>
        <w:tc>
          <w:tcPr>
            <w:tcW w:type="dxa" w:w="2282"/>
          </w:tcPr>
          <w:p>
            <w:r>
              <w:t>合格</w:t>
            </w:r>
          </w:p>
        </w:tc>
      </w:tr>
      <w:tr>
        <w:trPr>
          <w:cantSplit/>
        </w:trPr>
        <w:tc>
          <w:tcPr>
            <w:tcW w:type="dxa" w:w="2282"/>
          </w:tcPr>
          <w:p>
            <w:r>
              <w:t>6. 綁紮鐵絲端頭處理</w:t>
            </w:r>
          </w:p>
        </w:tc>
        <w:tc>
          <w:tcPr>
            <w:tcW w:type="dxa" w:w="2282"/>
          </w:tcPr>
          <w:p>
            <w:r>
              <w:t>鐵絲端頭一律朝內彎折，嚴禁朝向模板外側外露</w:t>
            </w:r>
          </w:p>
        </w:tc>
        <w:tc>
          <w:tcPr>
            <w:tcW w:type="dxa" w:w="2282"/>
          </w:tcPr>
          <w:p>
            <w:r>
              <w:t>鐵絲端頭已向內側壓平</w:t>
            </w:r>
          </w:p>
        </w:tc>
        <w:tc>
          <w:tcPr>
            <w:tcW w:type="dxa" w:w="2282"/>
          </w:tcPr>
          <w:p>
            <w:r>
              <w:t>合格</w:t>
            </w:r>
          </w:p>
        </w:tc>
      </w:tr>
    </w:tbl>
    <w:p>
      <w:pPr>
        <w:pStyle w:val="Heading1"/>
      </w:pPr>
      <w:r>
        <w:t>第七章 不合格品之管制與矯正預防</w:t>
      </w:r>
    </w:p>
    <w:p>
      <w:pPr>
        <w:pStyle w:val="Heading2"/>
      </w:pPr>
      <w:r>
        <w:t>7.1 不合格品之定義、分類與隔離程序</w:t>
      </w:r>
    </w:p>
    <w:p>
      <w:r>
        <w:t>施工或材料檢驗結果未符合契約標準時，即判定為不合格品，依缺失程度分類管制：</w:t>
        <w:br/>
        <w:t>1. 嚴重缺失：影響結構安全、耐震能力或隱蔽部分之瑕疵（如混凝土試體強度不足、鋼筋保護層嚴重不足、基礎基底擾動等）。處置程序：立即停工、設立警示黃線與告示牌隔離標示，並於 24 小時內提報專任工程人員審定矯正對策，報監造審定後依核定方案改善。</w:t>
        <w:br/>
        <w:t>2. 一般缺失：外觀平整度不足、小蜂窩麻面、保護層墊塊少數鬆脫等。處置程序：限期於當日或 3 日內修復複查銷案。</w:t>
      </w:r>
    </w:p>
    <w:p>
      <w:pPr>
        <w:pStyle w:val="Heading2"/>
      </w:pPr>
      <w:r>
        <w:t>7.2 缺失改善通知單與追蹤銷案流程</w:t>
      </w:r>
    </w:p>
    <w:p>
      <w:r>
        <w:t>品管人員開立「缺失改善通知單」（附改善前彩色照片），送交現場工程師要求施工領班限期完成改善；改善完成後拍照存證，由品管人員會同專任工程人員實地複查，複查合格後始准銷案並報監造單位備查。</w:t>
      </w:r>
    </w:p>
    <w:p>
      <w:pPr>
        <w:pStyle w:val="Heading1"/>
      </w:pPr>
      <w:r>
        <w:t>第八章 矯正與預防措施</w:t>
      </w:r>
    </w:p>
    <w:p>
      <w:pPr>
        <w:pStyle w:val="Heading2"/>
      </w:pPr>
      <w:r>
        <w:t>8.1 矯正措施審查時機與成因分析</w:t>
      </w:r>
    </w:p>
    <w:p>
      <w:r>
        <w:t>凡同一分項工程重複發生相同缺失 2 次以上，或經工程會查核小組列為丙等扣點項目者，應啟動矯正預防專案程序。品管組召集現場工程師與施工工班，使用「魚骨圖分析法」從人（人員素質）、機（機具功能）、料（材料品質）、法（作業要領程序）、環（天候環境）五大維度剖析真因，徹底消除造成缺失之根本原因，防止再發。</w:t>
      </w:r>
    </w:p>
    <w:p>
      <w:pPr>
        <w:pStyle w:val="Heading2"/>
      </w:pPr>
      <w:r>
        <w:t>8.2 定期品質檢討會議運作機制</w:t>
      </w:r>
    </w:p>
    <w:p>
      <w:r>
        <w:t>工務所每月定期召開「品質管制檢討會議」，由工地主任主持，專任工程人員及品管人員出席指導，檢討當月材料送審進度、自主檢查缺失統計分析、監造抽查意見辦理情形，並列管下月重要檢驗停留點。</w:t>
      </w:r>
    </w:p>
    <w:p>
      <w:pPr>
        <w:pStyle w:val="Heading1"/>
      </w:pPr>
      <w:r>
        <w:t>第九章 文件紀錄管理系統與品質稽核</w:t>
      </w:r>
    </w:p>
    <w:p>
      <w:pPr>
        <w:pStyle w:val="Heading2"/>
      </w:pPr>
      <w:r>
        <w:t>9.1 品質文件編號、保管與五年存檔規範</w:t>
      </w:r>
    </w:p>
    <w:p>
      <w:r>
        <w:t>品質文件採用統一工程編號系統，所有自主檢查表、材料試驗報告、專任工程人員督導紀錄表、缺失改善追蹤表等，按章節分門別類建立檔案夾妥善保存於工務所防潮文件箱中。</w:t>
        <w:br/>
        <w:t>依工程會最新要點規定，所有品管與監造核定文件紀錄，承造廠商應自工程完工驗收合格之日起，妥善保管備查至少五年，以備日後審計部及工程施工查核單位調閱查核。</w:t>
      </w:r>
    </w:p>
    <w:p>
      <w:pPr>
        <w:pStyle w:val="Heading2"/>
      </w:pPr>
      <w:r>
        <w:t>9.2 內部品質稽核計畫與執行成果紀錄</w:t>
      </w:r>
    </w:p>
    <w:p>
      <w:r>
        <w:t>總公司品管組每季定期針對工務所執行 1 次內部品質稽核，稽核內容包含：自主檢查表填寫即時性、專任工程人員到場督察頻率、材料送審是否逾期未報、不合格品隔離標示情形。稽核報告列管追蹤至缺失改善完畢，確保工務所品質體系持續有效運作。</w:t>
      </w:r>
    </w:p>
    <w:sectPr w:rsidR="00FC693F" w:rsidRPr="0006063C" w:rsidSect="00034616">
      <w:pgSz w:w="12240" w:h="15840"/>
      <w:pgMar w:top="1411" w:right="1411" w:bottom="1411"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